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BBFE0">
      <w:pPr>
        <w:ind w:firstLine="880" w:firstLineChars="200"/>
        <w:jc w:val="both"/>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第二讲  化疗导致肝脏毒性的管理</w:t>
      </w:r>
    </w:p>
    <w:p w14:paraId="4C017D96">
      <w:pPr>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福建省妇幼保健院  李素玉</w:t>
      </w:r>
    </w:p>
    <w:p w14:paraId="5855C2F8">
      <w:pPr>
        <w:jc w:val="center"/>
        <w:rPr>
          <w:rFonts w:hint="eastAsia" w:ascii="仿宋_GB2312" w:hAnsi="仿宋_GB2312" w:eastAsia="仿宋_GB2312" w:cs="仿宋_GB2312"/>
          <w:b/>
          <w:bCs/>
          <w:sz w:val="32"/>
          <w:szCs w:val="32"/>
          <w:lang w:val="en-US" w:eastAsia="zh-CN"/>
        </w:rPr>
      </w:pPr>
    </w:p>
    <w:p w14:paraId="5F3944BD">
      <w:pPr>
        <w:numPr>
          <w:ilvl w:val="0"/>
          <w:numId w:val="0"/>
        </w:numPr>
        <w:jc w:val="both"/>
        <w:rPr>
          <w:rFonts w:hint="eastAsia" w:ascii="仿宋_GB2312" w:hAnsi="仿宋_GB2312" w:eastAsia="仿宋_GB2312" w:cs="仿宋_GB2312"/>
          <w:i w:val="0"/>
          <w:iCs w:val="0"/>
          <w:caps w:val="0"/>
          <w:color w:val="3E3E3E"/>
          <w:spacing w:val="8"/>
          <w:sz w:val="32"/>
          <w:szCs w:val="32"/>
          <w:shd w:val="clear" w:color="auto" w:fill="FFFFFF"/>
        </w:rPr>
      </w:pPr>
      <w:r>
        <w:rPr>
          <w:rFonts w:hint="eastAsia" w:ascii="仿宋_GB2312" w:hAnsi="仿宋_GB2312" w:eastAsia="仿宋_GB2312" w:cs="仿宋_GB2312"/>
          <w:b/>
          <w:bCs/>
          <w:sz w:val="32"/>
          <w:szCs w:val="32"/>
          <w:lang w:val="en-US" w:eastAsia="zh-CN"/>
        </w:rPr>
        <w:t>一、定义</w:t>
      </w:r>
    </w:p>
    <w:p w14:paraId="5CFBAE89">
      <w:pPr>
        <w:numPr>
          <w:ilvl w:val="0"/>
          <w:numId w:val="0"/>
        </w:numPr>
        <w:ind w:firstLine="672" w:firstLineChars="200"/>
        <w:jc w:val="both"/>
        <w:rPr>
          <w:rFonts w:hint="eastAsia" w:ascii="仿宋_GB2312" w:hAnsi="仿宋_GB2312" w:eastAsia="仿宋_GB2312" w:cs="仿宋_GB2312"/>
          <w:i w:val="0"/>
          <w:iCs w:val="0"/>
          <w:caps w:val="0"/>
          <w:spacing w:val="8"/>
          <w:kern w:val="0"/>
          <w:sz w:val="32"/>
          <w:szCs w:val="32"/>
          <w:shd w:val="clear" w:color="auto" w:fill="FFFFFF"/>
          <w:lang w:val="en-US" w:eastAsia="zh-CN" w:bidi="ar"/>
        </w:rPr>
      </w:pPr>
      <w:r>
        <w:rPr>
          <w:rFonts w:hint="eastAsia" w:ascii="仿宋_GB2312" w:hAnsi="仿宋_GB2312" w:eastAsia="仿宋_GB2312" w:cs="仿宋_GB2312"/>
          <w:i w:val="0"/>
          <w:iCs w:val="0"/>
          <w:caps w:val="0"/>
          <w:color w:val="5D6334"/>
          <w:spacing w:val="8"/>
          <w:sz w:val="32"/>
          <w:szCs w:val="32"/>
          <w:shd w:val="clear" w:color="auto" w:fill="FFFFFF"/>
        </w:rPr>
        <w:t>药</w:t>
      </w:r>
      <w:r>
        <w:rPr>
          <w:rFonts w:hint="eastAsia" w:ascii="仿宋_GB2312" w:hAnsi="仿宋_GB2312" w:eastAsia="仿宋_GB2312" w:cs="仿宋_GB2312"/>
          <w:i w:val="0"/>
          <w:iCs w:val="0"/>
          <w:caps w:val="0"/>
          <w:spacing w:val="8"/>
          <w:kern w:val="0"/>
          <w:sz w:val="32"/>
          <w:szCs w:val="32"/>
          <w:shd w:val="clear" w:color="auto" w:fill="FFFFFF"/>
          <w:lang w:val="en-US" w:eastAsia="zh-CN" w:bidi="ar"/>
        </w:rPr>
        <w:t>物性肝损伤 (drug Induced liver injury，DILI)是指药物在使用过程中，由于药物本身或者其代谢产物引起的肝细胞毒性或肝脏对药物及其代谢产物的过敏反应所致的疾病，其临床表现可以从无任何症状，发展到急性肝衰竭(acute liver failure，ALF)甚至死亡。化疗相关性肝损伤，（Chemotherapy Associated  Liver Injury, CALI），广义上说属于药物性肝损伤（DILI）的范畴。我国急性DILI发病率为1．4％～8．1％，约占急性肝损伤住院比例的20%；最常引起DILl的药物中，抗肿瘤药物居第五位，占15%。因DILI引起的急性肝衰竭中，抗肿瘤药物位居第2位，占11.9%。抗肿瘤药毒性作用仍是限制应用的主要因素，其导致的急性或慢性肝脏损害影响生存质量和存活率。因此，CALI成为肿瘤治疗过程中不可忽视的问题。</w:t>
      </w:r>
    </w:p>
    <w:p w14:paraId="2DB8FA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仿宋_GB2312" w:hAnsi="仿宋_GB2312" w:eastAsia="仿宋_GB2312" w:cs="仿宋_GB2312"/>
          <w:b w:val="0"/>
          <w:bCs w:val="0"/>
          <w:i w:val="0"/>
          <w:iCs w:val="0"/>
          <w:caps w:val="0"/>
          <w:spacing w:val="8"/>
          <w:sz w:val="32"/>
          <w:szCs w:val="32"/>
          <w:lang w:eastAsia="zh-CN"/>
        </w:rPr>
      </w:pPr>
      <w:r>
        <w:rPr>
          <w:rFonts w:hint="eastAsia" w:ascii="仿宋_GB2312" w:hAnsi="仿宋_GB2312" w:eastAsia="仿宋_GB2312" w:cs="仿宋_GB2312"/>
          <w:b w:val="0"/>
          <w:bCs w:val="0"/>
          <w:i w:val="0"/>
          <w:iCs w:val="0"/>
          <w:caps w:val="0"/>
          <w:spacing w:val="8"/>
          <w:sz w:val="32"/>
          <w:szCs w:val="32"/>
          <w:shd w:val="clear" w:color="auto" w:fill="FFFFFF"/>
        </w:rPr>
        <w:t>化疗药物引起肝脏损伤的类型</w:t>
      </w:r>
      <w:r>
        <w:rPr>
          <w:rFonts w:hint="eastAsia" w:ascii="仿宋_GB2312" w:hAnsi="仿宋_GB2312" w:eastAsia="仿宋_GB2312" w:cs="仿宋_GB2312"/>
          <w:b w:val="0"/>
          <w:bCs w:val="0"/>
          <w:i w:val="0"/>
          <w:iCs w:val="0"/>
          <w:caps w:val="0"/>
          <w:spacing w:val="8"/>
          <w:sz w:val="32"/>
          <w:szCs w:val="32"/>
          <w:shd w:val="clear" w:color="auto" w:fill="FFFFFF"/>
          <w:lang w:eastAsia="zh-CN"/>
        </w:rPr>
        <w:t>：</w:t>
      </w:r>
    </w:p>
    <w:p w14:paraId="12542A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both"/>
        <w:rPr>
          <w:rFonts w:hint="eastAsia" w:ascii="仿宋_GB2312" w:hAnsi="仿宋_GB2312" w:eastAsia="仿宋_GB2312" w:cs="仿宋_GB2312"/>
          <w:i w:val="0"/>
          <w:iCs w:val="0"/>
          <w:caps w:val="0"/>
          <w:spacing w:val="8"/>
          <w:sz w:val="32"/>
          <w:szCs w:val="32"/>
        </w:rPr>
      </w:pPr>
      <w:r>
        <w:rPr>
          <w:rFonts w:hint="eastAsia" w:ascii="仿宋_GB2312" w:hAnsi="仿宋_GB2312" w:eastAsia="仿宋_GB2312" w:cs="仿宋_GB2312"/>
          <w:i w:val="0"/>
          <w:iCs w:val="0"/>
          <w:caps w:val="0"/>
          <w:spacing w:val="8"/>
          <w:sz w:val="32"/>
          <w:szCs w:val="32"/>
          <w:shd w:val="clear" w:color="auto" w:fill="FFFFFF"/>
        </w:rPr>
        <w:t>（</w:t>
      </w:r>
      <w:r>
        <w:rPr>
          <w:rFonts w:hint="eastAsia" w:ascii="仿宋_GB2312" w:hAnsi="仿宋_GB2312" w:eastAsia="仿宋_GB2312" w:cs="仿宋_GB2312"/>
          <w:i w:val="0"/>
          <w:iCs w:val="0"/>
          <w:caps w:val="0"/>
          <w:spacing w:val="8"/>
          <w:sz w:val="32"/>
          <w:szCs w:val="32"/>
          <w:shd w:val="clear" w:color="auto" w:fill="FFFFFF"/>
          <w:lang w:eastAsia="zh-CN"/>
        </w:rPr>
        <w:t>一</w:t>
      </w:r>
      <w:r>
        <w:rPr>
          <w:rFonts w:hint="eastAsia" w:ascii="仿宋_GB2312" w:hAnsi="仿宋_GB2312" w:eastAsia="仿宋_GB2312" w:cs="仿宋_GB2312"/>
          <w:i w:val="0"/>
          <w:iCs w:val="0"/>
          <w:caps w:val="0"/>
          <w:spacing w:val="8"/>
          <w:sz w:val="32"/>
          <w:szCs w:val="32"/>
          <w:shd w:val="clear" w:color="auto" w:fill="FFFFFF"/>
        </w:rPr>
        <w:t>）直接肝损伤：发病率高，肝损程度与用药剂量成正相关，潜伏期短，可引起肝小叶或肝区域性坏死，伴脂肪变性</w:t>
      </w:r>
      <w:r>
        <w:rPr>
          <w:rFonts w:hint="eastAsia" w:ascii="仿宋_GB2312" w:hAnsi="仿宋_GB2312" w:eastAsia="仿宋_GB2312" w:cs="仿宋_GB2312"/>
          <w:i w:val="0"/>
          <w:iCs w:val="0"/>
          <w:caps w:val="0"/>
          <w:spacing w:val="8"/>
          <w:sz w:val="32"/>
          <w:szCs w:val="32"/>
          <w:shd w:val="clear" w:color="auto" w:fill="FFFFFF"/>
          <w:lang w:val="en-US" w:eastAsia="zh-CN"/>
        </w:rPr>
        <w:t>等。</w:t>
      </w:r>
    </w:p>
    <w:p w14:paraId="5C100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both"/>
        <w:rPr>
          <w:rFonts w:hint="eastAsia" w:ascii="仿宋_GB2312" w:hAnsi="仿宋_GB2312" w:eastAsia="仿宋_GB2312" w:cs="仿宋_GB2312"/>
          <w:i w:val="0"/>
          <w:iCs w:val="0"/>
          <w:caps w:val="0"/>
          <w:spacing w:val="8"/>
          <w:sz w:val="32"/>
          <w:szCs w:val="32"/>
        </w:rPr>
      </w:pPr>
      <w:r>
        <w:rPr>
          <w:rFonts w:hint="eastAsia" w:ascii="仿宋_GB2312" w:hAnsi="仿宋_GB2312" w:eastAsia="仿宋_GB2312" w:cs="仿宋_GB2312"/>
          <w:i w:val="0"/>
          <w:iCs w:val="0"/>
          <w:caps w:val="0"/>
          <w:spacing w:val="8"/>
          <w:sz w:val="32"/>
          <w:szCs w:val="32"/>
          <w:shd w:val="clear" w:color="auto" w:fill="FFFFFF"/>
        </w:rPr>
        <w:t>（</w:t>
      </w:r>
      <w:r>
        <w:rPr>
          <w:rFonts w:hint="eastAsia" w:ascii="仿宋_GB2312" w:hAnsi="仿宋_GB2312" w:eastAsia="仿宋_GB2312" w:cs="仿宋_GB2312"/>
          <w:i w:val="0"/>
          <w:iCs w:val="0"/>
          <w:caps w:val="0"/>
          <w:spacing w:val="8"/>
          <w:sz w:val="32"/>
          <w:szCs w:val="32"/>
          <w:shd w:val="clear" w:color="auto" w:fill="FFFFFF"/>
          <w:lang w:eastAsia="zh-CN"/>
        </w:rPr>
        <w:t>二</w:t>
      </w:r>
      <w:r>
        <w:rPr>
          <w:rFonts w:hint="eastAsia" w:ascii="仿宋_GB2312" w:hAnsi="仿宋_GB2312" w:eastAsia="仿宋_GB2312" w:cs="仿宋_GB2312"/>
          <w:i w:val="0"/>
          <w:iCs w:val="0"/>
          <w:caps w:val="0"/>
          <w:spacing w:val="8"/>
          <w:sz w:val="32"/>
          <w:szCs w:val="32"/>
          <w:shd w:val="clear" w:color="auto" w:fill="FFFFFF"/>
        </w:rPr>
        <w:t>）间接肝损伤（影响肝细胞正常代谢）：发病率高，肝损程度与用药剂量成正相关。肝脏病变的变异大，可出现类似肝炎样病变、胆汁淤积或混合性病变，甚至出现肝细胞坏死和变性。</w:t>
      </w:r>
    </w:p>
    <w:p w14:paraId="4618B7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both"/>
        <w:rPr>
          <w:rFonts w:hint="eastAsia" w:ascii="仿宋_GB2312" w:hAnsi="仿宋_GB2312" w:eastAsia="仿宋_GB2312" w:cs="仿宋_GB2312"/>
          <w:i w:val="0"/>
          <w:iCs w:val="0"/>
          <w:caps w:val="0"/>
          <w:color w:val="333333"/>
          <w:spacing w:val="23"/>
          <w:sz w:val="32"/>
          <w:szCs w:val="32"/>
        </w:rPr>
      </w:pPr>
      <w:r>
        <w:rPr>
          <w:rFonts w:hint="eastAsia" w:ascii="仿宋_GB2312" w:hAnsi="仿宋_GB2312" w:eastAsia="仿宋_GB2312" w:cs="仿宋_GB2312"/>
          <w:i w:val="0"/>
          <w:iCs w:val="0"/>
          <w:caps w:val="0"/>
          <w:spacing w:val="8"/>
          <w:sz w:val="32"/>
          <w:szCs w:val="32"/>
          <w:shd w:val="clear" w:color="auto" w:fill="FFFFFF"/>
        </w:rPr>
        <w:t>（</w:t>
      </w:r>
      <w:r>
        <w:rPr>
          <w:rFonts w:hint="eastAsia" w:ascii="仿宋_GB2312" w:hAnsi="仿宋_GB2312" w:eastAsia="仿宋_GB2312" w:cs="仿宋_GB2312"/>
          <w:i w:val="0"/>
          <w:iCs w:val="0"/>
          <w:caps w:val="0"/>
          <w:spacing w:val="8"/>
          <w:sz w:val="32"/>
          <w:szCs w:val="32"/>
          <w:shd w:val="clear" w:color="auto" w:fill="FFFFFF"/>
          <w:lang w:eastAsia="zh-CN"/>
        </w:rPr>
        <w:t>三</w:t>
      </w:r>
      <w:r>
        <w:rPr>
          <w:rFonts w:hint="eastAsia" w:ascii="仿宋_GB2312" w:hAnsi="仿宋_GB2312" w:eastAsia="仿宋_GB2312" w:cs="仿宋_GB2312"/>
          <w:i w:val="0"/>
          <w:iCs w:val="0"/>
          <w:caps w:val="0"/>
          <w:spacing w:val="8"/>
          <w:sz w:val="32"/>
          <w:szCs w:val="32"/>
          <w:shd w:val="clear" w:color="auto" w:fill="FFFFFF"/>
        </w:rPr>
        <w:t>）特异体质相关性肝损伤：发病率低，潜伏期长，肝损程度与用药剂量无关，且不能提前预测。</w:t>
      </w:r>
    </w:p>
    <w:p w14:paraId="360B07EA">
      <w:pPr>
        <w:numPr>
          <w:ilvl w:val="0"/>
          <w:numId w:val="0"/>
        </w:numPr>
        <w:ind w:leftChars="0"/>
        <w:jc w:val="both"/>
        <w:rPr>
          <w:rFonts w:hint="eastAsia" w:ascii="仿宋_GB2312" w:hAnsi="仿宋_GB2312" w:eastAsia="仿宋_GB2312" w:cs="仿宋_GB2312"/>
          <w:b/>
          <w:bCs/>
          <w:i w:val="0"/>
          <w:iCs w:val="0"/>
          <w:caps w:val="0"/>
          <w:color w:val="000000"/>
          <w:spacing w:val="9"/>
          <w:sz w:val="32"/>
          <w:szCs w:val="32"/>
          <w:shd w:val="clear" w:color="auto" w:fill="auto"/>
          <w:lang w:val="en-US" w:eastAsia="zh-CN"/>
        </w:rPr>
      </w:pPr>
      <w:r>
        <w:rPr>
          <w:rFonts w:hint="eastAsia" w:ascii="仿宋_GB2312" w:hAnsi="仿宋_GB2312" w:eastAsia="仿宋_GB2312" w:cs="仿宋_GB2312"/>
          <w:b/>
          <w:bCs/>
          <w:i w:val="0"/>
          <w:iCs w:val="0"/>
          <w:caps w:val="0"/>
          <w:color w:val="000000"/>
          <w:spacing w:val="9"/>
          <w:sz w:val="32"/>
          <w:szCs w:val="32"/>
          <w:shd w:val="clear" w:color="auto" w:fill="auto"/>
          <w:lang w:val="en-US" w:eastAsia="zh-CN"/>
        </w:rPr>
        <w:t>二.发生机制及危险因素</w:t>
      </w:r>
    </w:p>
    <w:p w14:paraId="6B1BA5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肝脏是许多抗肿瘤药代谢的重要器官，部分抗肿瘤药及其代谢产物可引起肝细胞损伤、变性、甚至坏死及胆汁淤积等改变。近年以下几个观点备受重视：</w:t>
      </w:r>
    </w:p>
    <w:p w14:paraId="43D73008">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代谢异常（遗传多态性）性肝损伤：即基因突变导致肝脏微粒体内1相或2相酶作用改变，引起具有毒性原药或毒性代谢产物增加，通过直接毒性作用损伤肝细胞；</w:t>
      </w:r>
    </w:p>
    <w:p w14:paraId="3C4C581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免疫介导性肝损伤：过敏反应或药物诱发自身免疫性肝炎；</w:t>
      </w:r>
    </w:p>
    <w:p w14:paraId="706FB6C6">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特异体质性肝损伤：与机体的适应性免疫反应相互作用机制有关，主要为半抗原学说和P-I概念 （P-I concept）两点。</w:t>
      </w:r>
    </w:p>
    <w:p w14:paraId="576E64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肝损害的发生率和以下因素密切相关：（1）患者自身基础疾病，如有慢性病毒性肝炎病史、肿瘤侵犯肝脏（包括原发性肝癌和转移性肝癌）的患者，发生肝毒性的几率增加。我国属于乙型肝炎病毒（HBV）感染的高流行区，对于病毒性肝炎患者，应用抗肿瘤药时更需注意。即使在治疗前肝功能完全正常的病例，也可因抗肿瘤药的给予而使HBV激活增殖，并可致肝炎病情加重。（2）药物相互作用：化疗药物的化学性质、剂量、疗程，以及药物相互作用常可影响DILI的潜伏期、临床表型、病程和结局。一种药物可改变其他药物的吸收、分布、代谢、排泄和药理作用。例如抗微管药多烯紫杉醇与DNA合成酶类抑制剂(卡培他滨或吉西他滨 )联合使用可以使药物性肝损伤的发病风险增加 1.47倍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（3）身体体重指数（BMI）大于27 kg/m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和高血糖是与肝脂肪变性相关的独立因素。（4）高龄、女性及遗传易感性等。（5）所使用的化疗药物种类及化疗方案。（6）化疗药物的给药方式，如肝动脉内注射抗肿瘤药，比静脉给药更易引起化学性肝炎、肝功能损害。</w:t>
      </w:r>
    </w:p>
    <w:p w14:paraId="1D04406E">
      <w:pPr>
        <w:numPr>
          <w:ilvl w:val="0"/>
          <w:numId w:val="0"/>
        </w:numPr>
        <w:bidi w:val="0"/>
        <w:ind w:left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三.临床表现</w:t>
      </w:r>
    </w:p>
    <w:p w14:paraId="66A5AD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抗肿瘤药所致的肝损害可分为急性和慢性两种。</w:t>
      </w:r>
    </w:p>
    <w:p w14:paraId="7EB298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急性肝损害较为常见，为抗肿瘤药或其代谢产物的直接作用所致，在化疗中和化疗后1 月内均可发生，以化疗后1 周内多见，急性CALI的临床表现通常无特异性。潜伏期差异很大，可短至1至数日、长达数月。近一半病例无明显临床症状，容易被忽视,部分患者可有乏力、食欲减退、厌油、肝区胀痛及上腹不适等消化道症状。仅有血清ALT、AST及ALP、GGT等肝脏生化指标不同程度的升高。淤胆明显者可有全身皮肤黄染、大便颜色变浅和瘙痒等。少数患者可有发热、皮疹、嗜酸性粒细胞增多甚至关节酸痛等过敏表现，还可能伴有其他肝外器官损伤的表现。病情严重者可出现ALF或亚急性肝衰竭（SALF）。</w:t>
      </w:r>
    </w:p>
    <w:p w14:paraId="6C7820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DILI定义为：急性CALI发生6个月后，血清ALT、AST、ALP及TBil仍持续异常，或存在门静脉高压或慢性肝损伤的影像学和组织学证据如慢性肝损害如肝纤维化、脂肪性病变、肉芽肿形成、嗜酸性粒细胞浸润等，多由长期用药引起。慢性DILI在临床上可表现为慢性肝炎、肝纤维化、代偿性和失代偿性肝硬化、慢性肝内胆汁淤积和胆管消失综合征（VBDS）等。</w:t>
      </w:r>
    </w:p>
    <w:p w14:paraId="455E39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在临床上，急性CALI占绝大多数，其中6%～20%可发展为慢性。有研究显示，急性CALI发病3个月后约42%的患者仍存在肝脏生化指标异常，随访1年约17%的患者仍存在肝生化指标异常。胆汁淤积型DILI相对易于进展为慢性。</w:t>
      </w:r>
    </w:p>
    <w:p w14:paraId="2CB2E6DB">
      <w:pPr>
        <w:bidi w:val="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四.诊断</w:t>
      </w:r>
    </w:p>
    <w:p w14:paraId="663EB9A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_GB2312" w:hAnsi="仿宋_GB2312" w:eastAsia="仿宋_GB2312" w:cs="仿宋_GB2312"/>
          <w:b w:val="0"/>
          <w:bCs w:val="0"/>
          <w:i w:val="0"/>
          <w:iCs w:val="0"/>
          <w:caps w:val="0"/>
          <w:spacing w:val="8"/>
          <w:sz w:val="32"/>
          <w:szCs w:val="32"/>
          <w:shd w:val="clear" w:color="auto" w:fill="FFFFFF"/>
        </w:rPr>
      </w:pPr>
      <w:r>
        <w:rPr>
          <w:rFonts w:hint="eastAsia" w:ascii="仿宋_GB2312" w:hAnsi="仿宋_GB2312" w:eastAsia="仿宋_GB2312" w:cs="仿宋_GB2312"/>
          <w:b w:val="0"/>
          <w:bCs w:val="0"/>
          <w:i w:val="0"/>
          <w:iCs w:val="0"/>
          <w:caps w:val="0"/>
          <w:spacing w:val="8"/>
          <w:sz w:val="32"/>
          <w:szCs w:val="32"/>
          <w:shd w:val="clear" w:color="auto" w:fill="FFFFFF"/>
        </w:rPr>
        <w:t>抗肿瘤药物治疗中出现肝损伤的病因复杂。排除肿瘤疾病进展、全身伴随疾病等肝损伤病因是建立抗肿瘤药物-DILI诊断的第一步。即使上述病因都已排除，患者肝损伤很可能由药物导致，但鉴于肿瘤患者往往合并用药众多，到底是抗肿瘤药物还是合并用药导致了DILI事件，尚需进一步甄别，因此，临床医师应仔细评估、排查合并用药物导致肝损伤的可能性，确定合并用药与DILI事件是否存在明确、合理的时效关系，以准确建立抗肿瘤药物-DILI诊断。此外，抗肿瘤药物导致的乙型病毒性肝炎再激活尽管也属于抗肿瘤药物-DILI范畴，但其治疗和管理有其特殊性，临床医师在鉴别时也应进行专门的评估</w:t>
      </w:r>
      <w:r>
        <w:rPr>
          <w:rFonts w:hint="eastAsia" w:ascii="仿宋_GB2312" w:hAnsi="仿宋_GB2312" w:eastAsia="仿宋_GB2312" w:cs="仿宋_GB2312"/>
          <w:b w:val="0"/>
          <w:bCs w:val="0"/>
          <w:i w:val="0"/>
          <w:iCs w:val="0"/>
          <w:caps w:val="0"/>
          <w:spacing w:val="8"/>
          <w:sz w:val="32"/>
          <w:szCs w:val="32"/>
          <w:shd w:val="clear" w:color="auto" w:fill="FFFFFF"/>
          <w:lang w:eastAsia="zh-CN"/>
        </w:rPr>
        <w:t>。</w:t>
      </w:r>
      <w:r>
        <w:rPr>
          <w:rFonts w:hint="eastAsia" w:ascii="仿宋_GB2312" w:hAnsi="仿宋_GB2312" w:eastAsia="仿宋_GB2312" w:cs="仿宋_GB2312"/>
          <w:b w:val="0"/>
          <w:bCs w:val="0"/>
          <w:i w:val="0"/>
          <w:iCs w:val="0"/>
          <w:caps w:val="0"/>
          <w:spacing w:val="8"/>
          <w:sz w:val="32"/>
          <w:szCs w:val="32"/>
          <w:shd w:val="clear" w:color="auto" w:fill="FFFFFF"/>
        </w:rPr>
        <w:t>尽管尚缺乏高质量的证据，但鉴于肿瘤患者有别于其他患者的特定原发疾病情况，以及不同肿瘤患者可能存在的复杂的全身伴随疾病，对疑似抗肿瘤药物-DILI患者应排除可能导致肝损伤的肿瘤相关或全身疾病相关病因。</w:t>
      </w:r>
    </w:p>
    <w:p w14:paraId="170B8AD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72" w:firstLineChars="200"/>
        <w:jc w:val="both"/>
        <w:rPr>
          <w:rFonts w:hint="eastAsia" w:ascii="仿宋_GB2312" w:hAnsi="仿宋_GB2312" w:eastAsia="仿宋_GB2312" w:cs="仿宋_GB2312"/>
          <w:b w:val="0"/>
          <w:bCs w:val="0"/>
          <w:i w:val="0"/>
          <w:iCs w:val="0"/>
          <w:caps w:val="0"/>
          <w:spacing w:val="8"/>
          <w:sz w:val="32"/>
          <w:szCs w:val="32"/>
          <w:shd w:val="clear" w:color="auto" w:fill="FFFFFF"/>
        </w:rPr>
      </w:pPr>
      <w:r>
        <w:rPr>
          <w:rFonts w:hint="eastAsia" w:ascii="仿宋_GB2312" w:hAnsi="仿宋_GB2312" w:eastAsia="仿宋_GB2312" w:cs="仿宋_GB2312"/>
          <w:b w:val="0"/>
          <w:bCs w:val="0"/>
          <w:i w:val="0"/>
          <w:iCs w:val="0"/>
          <w:caps w:val="0"/>
          <w:spacing w:val="8"/>
          <w:sz w:val="32"/>
          <w:szCs w:val="32"/>
          <w:shd w:val="clear" w:color="auto" w:fill="FFFFFF"/>
        </w:rPr>
        <w:t>DILI 的诊断缺乏特异性的诊断生物标志物，目前仍是基于详细病史采集、临床症状和体征、血清生化学、影像学和组织学等的排他性策略。</w:t>
      </w:r>
      <w:r>
        <w:rPr>
          <w:rFonts w:hint="eastAsia" w:ascii="仿宋_GB2312" w:hAnsi="仿宋_GB2312" w:eastAsia="仿宋_GB2312" w:cs="仿宋_GB2312"/>
          <w:sz w:val="32"/>
          <w:szCs w:val="32"/>
        </w:rPr>
        <w:t>药物暴露或停药与肝脏生物化学的改变有明确、合理的时效关系；肝损伤的临床和或病理表现（型）与可疑药物已知的肝毒性一致；停药或减少剂量后肝损伤显著改善或恢复正常；再次用药后肝损伤再次出现；排除了肝损伤的其他病因和基础肝病的活动或复发，且无法用其他合并用药/治疗手段、原发疾病进展来解释。诊断急性 DILI 时，肝脏生物化学闯值需达到以下三个标准之一:ALT≥5×ULN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ALP≥2×ULN （尤其是伴随GGT升高且排除骨骼疾病引起的ALP水平升高）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ALT≥3×ULN 同时TBil≥2×ULN</w:t>
      </w:r>
      <w:r>
        <w:rPr>
          <w:rFonts w:hint="eastAsia" w:ascii="仿宋_GB2312" w:hAnsi="仿宋_GB2312" w:eastAsia="仿宋_GB2312" w:cs="仿宋_GB2312"/>
          <w:sz w:val="32"/>
          <w:szCs w:val="32"/>
          <w:lang w:eastAsia="zh-CN"/>
        </w:rPr>
        <w:t>。</w:t>
      </w:r>
    </w:p>
    <w:p w14:paraId="034ADE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①肝损害大多出现在用药1～4 周内，但也可用药数月后出现肝病表现，少数药物潜伏期可更长；</w:t>
      </w:r>
    </w:p>
    <w:p w14:paraId="79BA07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②初发症状可能有发热、皮疹、瘙痒等过敏现象；</w:t>
      </w:r>
    </w:p>
    <w:p w14:paraId="1CC37E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③周围血液中嗜酸粒细胞＞6%；</w:t>
      </w:r>
    </w:p>
    <w:p w14:paraId="4AC23B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④有肝内胆汁淤积或实质细胞损害等临床和病理征象；</w:t>
      </w:r>
    </w:p>
    <w:p w14:paraId="723541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⑤淋巴细胞转化试验或巨噬细胞移动试验阳性；</w:t>
      </w:r>
    </w:p>
    <w:p w14:paraId="282207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⑥肝炎标志物阴性；</w:t>
      </w:r>
    </w:p>
    <w:p w14:paraId="340018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⑦偶然再次给药后又发生肝损害。</w:t>
      </w:r>
    </w:p>
    <w:p w14:paraId="328D20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凡具备上述①加上②～⑦条中任意两项即可考虑诊断为药物性肝损害。</w:t>
      </w:r>
    </w:p>
    <w:p w14:paraId="6DAA6E1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五、分型与分级</w:t>
      </w:r>
    </w:p>
    <w:p w14:paraId="41869468">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根据国际共识会议意见，损伤类型分为：</w:t>
      </w:r>
    </w:p>
    <w:p w14:paraId="3FE74C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肝细胞损伤型：丙氨酸转氨酶（ALT）&gt;2 倍正常值上限(ULN)或丙氨酸转氨酶/碱性磷酸酶（ALP）≥5；</w:t>
      </w:r>
    </w:p>
    <w:p w14:paraId="623112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胆汁淤积型：碱性磷酸酶&gt;2× ULN 且ALT/ALP≤2；</w:t>
      </w:r>
    </w:p>
    <w:p w14:paraId="09B6AE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混合型：ALT 和ALP 均＞2× ULN 且ALT/ALP 介于2～5 之间。</w:t>
      </w:r>
    </w:p>
    <w:p w14:paraId="02F516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化疗相关性肝损伤（ CALI）的严重程度分级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可按以下国际DILI专家工作组标准[1]：</w:t>
      </w:r>
    </w:p>
    <w:p w14:paraId="49690C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仿宋_GB2312" w:hAnsi="仿宋_GB2312" w:eastAsia="仿宋_GB2312" w:cs="仿宋_GB2312"/>
          <w:i w:val="0"/>
          <w:iCs w:val="0"/>
          <w:caps w:val="0"/>
          <w:color w:val="5D6334"/>
          <w:spacing w:val="8"/>
          <w:sz w:val="32"/>
          <w:szCs w:val="32"/>
          <w:shd w:val="clear" w:color="auto" w:fill="FFFFFF"/>
          <w:lang w:eastAsia="zh-CN"/>
        </w:rPr>
      </w:pPr>
      <w:r>
        <w:rPr>
          <w:rFonts w:hint="eastAsia" w:ascii="仿宋_GB2312" w:hAnsi="仿宋_GB2312" w:eastAsia="仿宋_GB2312" w:cs="仿宋_GB2312"/>
          <w:i w:val="0"/>
          <w:iCs w:val="0"/>
          <w:caps w:val="0"/>
          <w:color w:val="5D6334"/>
          <w:spacing w:val="8"/>
          <w:sz w:val="32"/>
          <w:szCs w:val="32"/>
          <w:shd w:val="clear" w:color="auto" w:fill="FFFFFF"/>
          <w:lang w:eastAsia="zh-CN"/>
        </w:rPr>
        <w:drawing>
          <wp:inline distT="0" distB="0" distL="114300" distR="114300">
            <wp:extent cx="5266690" cy="1804670"/>
            <wp:effectExtent l="0" t="0" r="10160" b="5080"/>
            <wp:docPr id="1" name="图片 1" descr="bdf03aa7b82436288368ad7ae3be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df03aa7b82436288368ad7ae3be8861"/>
                    <pic:cNvPicPr>
                      <a:picLocks noChangeAspect="1"/>
                    </pic:cNvPicPr>
                  </pic:nvPicPr>
                  <pic:blipFill>
                    <a:blip r:embed="rId4"/>
                    <a:stretch>
                      <a:fillRect/>
                    </a:stretch>
                  </pic:blipFill>
                  <pic:spPr>
                    <a:xfrm>
                      <a:off x="0" y="0"/>
                      <a:ext cx="5266690" cy="1804670"/>
                    </a:xfrm>
                    <a:prstGeom prst="rect">
                      <a:avLst/>
                    </a:prstGeom>
                    <a:noFill/>
                    <a:ln>
                      <a:noFill/>
                    </a:ln>
                  </pic:spPr>
                </pic:pic>
              </a:graphicData>
            </a:graphic>
          </wp:inline>
        </w:drawing>
      </w:r>
    </w:p>
    <w:p w14:paraId="2E581303">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rightChars="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六、治疗</w:t>
      </w:r>
    </w:p>
    <w:p w14:paraId="3C4AE72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firstLine="640" w:firstLineChars="200"/>
        <w:jc w:val="both"/>
        <w:rPr>
          <w:rFonts w:hint="eastAsia" w:ascii="仿宋_GB2312" w:hAnsi="仿宋_GB2312" w:eastAsia="仿宋_GB2312" w:cs="仿宋_GB2312"/>
          <w:i w:val="0"/>
          <w:iCs w:val="0"/>
          <w:caps w:val="0"/>
          <w:color w:val="5D6334"/>
          <w:spacing w:val="8"/>
          <w:sz w:val="32"/>
          <w:szCs w:val="32"/>
        </w:rPr>
      </w:pPr>
      <w:r>
        <w:rPr>
          <w:rFonts w:hint="eastAsia" w:ascii="仿宋_GB2312" w:hAnsi="仿宋_GB2312" w:eastAsia="仿宋_GB2312" w:cs="仿宋_GB2312"/>
          <w:kern w:val="0"/>
          <w:sz w:val="32"/>
          <w:szCs w:val="32"/>
          <w:lang w:val="en-US" w:eastAsia="zh-CN" w:bidi="ar"/>
        </w:rPr>
        <w:t>治疗目标：促进肝损伤尽早恢复；防止肝损伤的重症化或慢性化、 避免 ALF 或慢性 DlLJ 甚至肝硬化等终点事件的发生 ， 最终降低 由此导致的全因或肝脏相关死亡风险；减少DILI事件对原发疾病肿瘤治疗的影响。</w:t>
      </w:r>
    </w:p>
    <w:p w14:paraId="268765F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一旦发生 DILI，应及时停用导致肝损伤的可疑药物是DILI的首要治疗措施，尤其是在肝脏生物化学指标迅速升高或存在其他肝功能受损的证据时。美国食品药品监督管理局(FDA)制订了药物临床试验中的停药原则[1]。出现下列情况之一应考虑停药:①血清 ALT或AST&gt;8×ULN;②ALT 或 AST&gt;5×ULN,持续2周；③ ALT 或AST&gt;3×ULN,且TBil&gt;2×ULN或INR&gt;1.5；④ALT或AST&gt;3×ULN，伴逐渐加重的疲劳、恶心、呕吐、有上腹疼痛或压痛、发热、皮疹和/或嗜酸性粒细胞增多(&gt;5%)。上述停药阈值的适用对象为药物临床试验受试者，临床实践中仅供参考，需注意的是，即使停用了可疑药物、部分患者肝损伤也可能并不会马上恢复，临床医师应继续密切随访并收集相关信息、做出是否采取其他治疗措施的决策。一旦停药、患者原则上不应再次暴露于该药物。</w:t>
      </w:r>
    </w:p>
    <w:p w14:paraId="04244C6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对于无基础肝病等风险因素，使用已知肝毒性较小抗肿瘤药物的患者，如用药后仅血清ALT轻度升高、其峰值&lt;5倍正常上限的无症状者，TBil水平正常、可在密切监测下(每周监测肝酶和 TBil 1-2次，如果异常指标稳定或下降,可改为每1-2周监测1次，直至恢复正常)继续或减量使用抗肿瘤药物，必要时可考虑使用一种针对性的肝损伤治疗药物。</w:t>
      </w:r>
    </w:p>
    <w:p w14:paraId="0806D893">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对于ALT显著升高的急性肝细胞损伤型或混合型DILI患者，推荐异甘草酸镁或双环醇治疗；甘草酸二铵、复方甘草酸苷等其他甘草酸类、水飞蓟素类、谷胱甘肽、多烯磷脂酰胆碱等口服或静脉注射药物，以及国内广泛应用的中成药，如护肝片、五灵胶囊(丸)等临床常用药物治疗肝细胞损伤型DILI的有效性尚有待高级别的循证医学证据支持。在轻症肝细胞损伤型或混合型 DILI中可合理选择试用，用以降低ALT/AST 水平。目前无证据显示2种或以上上述药物的联合应用有更好疗效，因此，不推荐2种或以上都以降低 ALT 为主的肝损伤治疗药物联合应用。尽管缺乏证据，但对于混合型DILI，选择一种以降低 ALT 为主，同时选择另一种改善胆汁淤积表现的药物，是可接受的。</w:t>
      </w:r>
    </w:p>
    <w:p w14:paraId="5C81379E">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预防性应用肝损伤治疗药物减少DILI发生的证据尚不充分，因此，不建议常规对每例患者预防性用药。但对于有药物和宿主等高风险因素的人群，如首次暴露后曾导致肝损伤、伴有基础肝病或使用有明确证据会导致DILI的药物等，应在综合评估DILI发生风险的基础上，有选择地考虑预防性用药，应尽可能选择曾开展过较大样本量预防性研究和具有较好药物经济学证据的药物。</w:t>
      </w:r>
    </w:p>
    <w:p w14:paraId="25202058">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胆汁淤积型DILI患者，尤其是严重或恢复缓慢的胆汁淤积型或混合型DILI患者中可使用熊去氧胆酸、S-腺苷蛋氨酸，或牛磺熊去氧胆酸，用以降低ALP水平。上述药物的有效性尚有待高级别的循证医学证据支持。</w:t>
      </w:r>
    </w:p>
    <w:p w14:paraId="366C3E2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糖皮质激素在DILI治疗中的常规应用，尚缺乏高级别循证医学支持。糖皮质激素不应成为DILI的常规治疗方案。确需应用时应严格掌握适应证，充分权衡可能的获益和风险。伴随超敏或自身免疫征象的免疫介导的DILI是其应用指征。药物性急性肝衰竭患者死亡风险高，肝移植是目前最有效的治疗手段，建议转诊。</w:t>
      </w:r>
    </w:p>
    <w:p w14:paraId="40F5069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jc w:val="both"/>
        <w:rPr>
          <w:rFonts w:hint="eastAsia" w:ascii="仿宋_GB2312" w:hAnsi="仿宋_GB2312" w:eastAsia="仿宋_GB2312" w:cs="仿宋_GB2312"/>
          <w:kern w:val="0"/>
          <w:sz w:val="32"/>
          <w:szCs w:val="32"/>
          <w:lang w:val="en-US" w:eastAsia="zh-CN" w:bidi="ar"/>
        </w:rPr>
      </w:pPr>
    </w:p>
    <w:p w14:paraId="2E672B8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p>
    <w:p w14:paraId="358F6E2D">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p>
    <w:p w14:paraId="5625FB91">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p>
    <w:p w14:paraId="643AE20B">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p>
    <w:p w14:paraId="401BCB15">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p>
    <w:p w14:paraId="236C44A7">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640" w:firstLineChars="200"/>
        <w:jc w:val="both"/>
        <w:rPr>
          <w:rFonts w:hint="eastAsia" w:ascii="仿宋_GB2312" w:hAnsi="仿宋_GB2312" w:eastAsia="仿宋_GB2312" w:cs="仿宋_GB2312"/>
          <w:kern w:val="0"/>
          <w:sz w:val="32"/>
          <w:szCs w:val="32"/>
          <w:lang w:val="en-US" w:eastAsia="zh-CN" w:bidi="ar"/>
        </w:rPr>
      </w:pPr>
    </w:p>
    <w:p w14:paraId="37C171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1" w:firstLineChars="10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b/>
          <w:bCs/>
          <w:color w:val="000000"/>
          <w:sz w:val="32"/>
          <w:szCs w:val="32"/>
        </w:rPr>
        <w:t>附</w:t>
      </w:r>
      <w:r>
        <w:rPr>
          <w:rFonts w:hint="eastAsia" w:ascii="仿宋_GB2312" w:hAnsi="仿宋_GB2312" w:eastAsia="仿宋_GB2312" w:cs="仿宋_GB2312"/>
          <w:b/>
          <w:bCs/>
          <w:color w:val="000000"/>
          <w:sz w:val="32"/>
          <w:szCs w:val="32"/>
          <w:lang w:eastAsia="zh-CN"/>
        </w:rPr>
        <w:t>测试题（单</w:t>
      </w:r>
      <w:r>
        <w:rPr>
          <w:rFonts w:hint="eastAsia" w:ascii="仿宋_GB2312" w:hAnsi="仿宋_GB2312" w:eastAsia="仿宋_GB2312" w:cs="仿宋_GB2312"/>
          <w:b/>
          <w:bCs/>
          <w:color w:val="000000"/>
          <w:sz w:val="32"/>
          <w:szCs w:val="32"/>
        </w:rPr>
        <w:t>项选择题</w:t>
      </w:r>
      <w:r>
        <w:rPr>
          <w:rFonts w:hint="eastAsia" w:ascii="仿宋_GB2312" w:hAnsi="仿宋_GB2312" w:eastAsia="仿宋_GB2312" w:cs="仿宋_GB2312"/>
          <w:b/>
          <w:bCs/>
          <w:color w:val="000000"/>
          <w:sz w:val="32"/>
          <w:szCs w:val="32"/>
          <w:lang w:val="en-US" w:eastAsia="zh-CN"/>
        </w:rPr>
        <w:t>10道）</w:t>
      </w:r>
      <w:bookmarkStart w:id="0" w:name="_GoBack"/>
      <w:bookmarkEnd w:id="0"/>
    </w:p>
    <w:p w14:paraId="00112B37">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 关于化疗药物所致肝损伤的常见类型，以下哪项描述最准确？</w:t>
      </w:r>
    </w:p>
    <w:p w14:paraId="2684F569">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仅表现为肝细胞坏死一种形式</w:t>
      </w:r>
    </w:p>
    <w:p w14:paraId="7438BF83">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主要包括肝细胞损伤型、胆汁淤积型及混合型</w:t>
      </w:r>
    </w:p>
    <w:p w14:paraId="16AE8D72">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仅表现为胆红素升高</w:t>
      </w:r>
    </w:p>
    <w:p w14:paraId="34FC9754">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化疗药物仅通过直接毒性作用损伤肝脏</w:t>
      </w:r>
    </w:p>
    <w:p w14:paraId="06FC87DD">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2. 甲氨蝶呤（MTX）长期使用最特征性的慢性肝损伤类型是：</w:t>
      </w:r>
    </w:p>
    <w:p w14:paraId="264AB32B">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急性肝坏死</w:t>
      </w:r>
    </w:p>
    <w:p w14:paraId="0E0D5524">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肝脏脂肪变性</w:t>
      </w:r>
    </w:p>
    <w:p w14:paraId="02AE49A0">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肝纤维化和肝硬化</w:t>
      </w:r>
    </w:p>
    <w:p w14:paraId="265A3D38">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急性胆管炎</w:t>
      </w:r>
    </w:p>
    <w:p w14:paraId="7A489A00">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3. 关于化疗前肝功能评估，以下哪项指标组合最常用于判断Child-Pugh分级？</w:t>
      </w:r>
    </w:p>
    <w:p w14:paraId="720D7C48">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白细胞、血小板、血红蛋白</w:t>
      </w:r>
    </w:p>
    <w:p w14:paraId="23F2A2AE">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白蛋白、胆红素、凝血酶原时间、腹水、肝性脑病</w:t>
      </w:r>
    </w:p>
    <w:p w14:paraId="2EE794F5">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谷丙转氨酶（ALT）、谷草转氨酶（AST）</w:t>
      </w:r>
    </w:p>
    <w:p w14:paraId="79870885">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尿素氮、肌酐</w:t>
      </w:r>
    </w:p>
    <w:p w14:paraId="3A2201EB">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4. 患者使用伊立替康后出现肝毒性，实验室检查提示转氨酶正常，但胆红素显著升高（以直接胆红素为主），伴碱性磷酸酶升高。最可能的肝损伤类型是：</w:t>
      </w:r>
    </w:p>
    <w:p w14:paraId="08759D09">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肝细胞损伤型</w:t>
      </w:r>
    </w:p>
    <w:p w14:paraId="700B3449">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胆汁淤积型</w:t>
      </w:r>
    </w:p>
    <w:p w14:paraId="3F30CC4C">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脂肪性肝炎</w:t>
      </w:r>
    </w:p>
    <w:p w14:paraId="1CE284FC">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紫癜性肝病</w:t>
      </w:r>
    </w:p>
    <w:p w14:paraId="2851137B">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5. 对于化疗期间出现的轻度转氨酶升高（≤3倍正常值上限）且无症状的患者，正确的处理是：</w:t>
      </w:r>
    </w:p>
    <w:p w14:paraId="29359FF0">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立即停用所有化疗药物</w:t>
      </w:r>
    </w:p>
    <w:p w14:paraId="6C3FD6FA">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永久终止化疗</w:t>
      </w:r>
    </w:p>
    <w:p w14:paraId="76C4C82C">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继续原方案化疗，密切监测肝功能变化</w:t>
      </w:r>
    </w:p>
    <w:p w14:paraId="198A9059">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换用无肝毒性化疗方案</w:t>
      </w:r>
    </w:p>
    <w:p w14:paraId="0E1FAB0A">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6. 对于化疗所致肝细胞损伤型（ALT/AST显著升高）患者，下列哪项保肝药物主要通过修复肝细胞膜结构发挥作用？</w:t>
      </w:r>
    </w:p>
    <w:p w14:paraId="143A7FEB">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甘草酸制剂（如异甘草酸镁）</w:t>
      </w:r>
    </w:p>
    <w:p w14:paraId="20C9A327">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多烯磷脂酰胆碱</w:t>
      </w:r>
    </w:p>
    <w:p w14:paraId="7A8ADECC">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熊去氧胆酸</w:t>
      </w:r>
    </w:p>
    <w:p w14:paraId="505B5BE5">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N-乙酰半胱氨酸</w:t>
      </w:r>
    </w:p>
    <w:p w14:paraId="458DAB00">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7. 关于化疗所致肝功能损害时保肝药物的联合应用，下列哪项原则是正确的？</w:t>
      </w:r>
    </w:p>
    <w:p w14:paraId="35CF8F34">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联用两种以上作用机制相同的保肝药可增强疗效，应作为常规首选</w:t>
      </w:r>
    </w:p>
    <w:p w14:paraId="48D4589C">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为达到最佳疗效，应同时使用抗炎类、肝细胞膜修复剂和利胆药三种以上药物</w:t>
      </w:r>
    </w:p>
    <w:p w14:paraId="1317F9CC">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联合用药时应选择作用机制互补的药物，避免同类药物重复叠加，以减少不良反应风险</w:t>
      </w:r>
    </w:p>
    <w:p w14:paraId="7D87211E">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中药保肝药与西药保肝药无相互作用，可随意联合使用</w:t>
      </w:r>
    </w:p>
    <w:p w14:paraId="60617205">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8. 患者因化疗出现明显胆汁淤积型黄疸（直接胆红素升高、ALP/GGT升高），在停用化疗药的基础上，可优先考虑选用下列哪种药物？</w:t>
      </w:r>
    </w:p>
    <w:p w14:paraId="50F13A9B">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联苯双酯</w:t>
      </w:r>
    </w:p>
    <w:p w14:paraId="7C2737F7">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熊去氧胆酸</w:t>
      </w:r>
    </w:p>
    <w:p w14:paraId="19EB92C2">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促肝细胞生长素</w:t>
      </w:r>
    </w:p>
    <w:p w14:paraId="73920987">
      <w:pPr>
        <w:numPr>
          <w:ilvl w:val="0"/>
          <w:numId w:val="0"/>
        </w:numPr>
        <w:rPr>
          <w:rFonts w:hint="default"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 xml:space="preserve">D. 肌苷                         </w:t>
      </w:r>
    </w:p>
    <w:p w14:paraId="5E7DC3DE">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9. 关于化疗所致肝功能损害时糖皮质激素的应用，下列哪项说法最准确？</w:t>
      </w:r>
    </w:p>
    <w:p w14:paraId="615196B2">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所有药物性肝损伤均应常规使用大剂量激素</w:t>
      </w:r>
    </w:p>
    <w:p w14:paraId="2436D1D9">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仅用于伴有明显超敏反应特征（如发热、皮疹、嗜酸性粒细胞增多）或自身免疫性肝炎样表现的肝损伤</w:t>
      </w:r>
    </w:p>
    <w:p w14:paraId="03E594D7">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激素可促进肝细胞再生，应作为一线保肝药</w:t>
      </w:r>
    </w:p>
    <w:p w14:paraId="415C6A1E">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激素可预防所有化疗药的肝毒性</w:t>
      </w:r>
    </w:p>
    <w:p w14:paraId="5689A3A4">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10. 患者使用紫杉醇化疗后出现转氨酶升高至正常上限的3.5倍，无黄疸，下一周期化疗前肝功能未完全恢复。根据CTCAE分级和临床处理原则，最合适的处理是：</w:t>
      </w:r>
    </w:p>
    <w:p w14:paraId="41EF762E">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A. 永久停用紫杉醇</w:t>
      </w:r>
    </w:p>
    <w:p w14:paraId="47AAB352">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B. 原剂量化疗，同时加倍剂量保肝药</w:t>
      </w:r>
    </w:p>
    <w:p w14:paraId="0BC23CD5">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C. 将紫杉醇剂量降低25%，并继续保肝治疗</w:t>
      </w:r>
    </w:p>
    <w:p w14:paraId="2AB9A416">
      <w:pPr>
        <w:numPr>
          <w:ilvl w:val="0"/>
          <w:numId w:val="0"/>
        </w:numPr>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D. 换用无肝毒性化疗方案</w:t>
      </w:r>
    </w:p>
    <w:p w14:paraId="01B561DF">
      <w:pPr>
        <w:numPr>
          <w:ilvl w:val="0"/>
          <w:numId w:val="0"/>
        </w:numPr>
        <w:rPr>
          <w:rFonts w:hint="default" w:ascii="宋体" w:hAnsi="宋体" w:cs="宋体"/>
          <w:kern w:val="0"/>
          <w:sz w:val="21"/>
          <w:szCs w:val="21"/>
          <w:lang w:val="en-US" w:eastAsia="zh-CN" w:bidi="ar"/>
        </w:rPr>
      </w:pPr>
    </w:p>
    <w:p w14:paraId="6C51796C">
      <w:pPr>
        <w:numPr>
          <w:ilvl w:val="0"/>
          <w:numId w:val="0"/>
        </w:numPr>
        <w:rPr>
          <w:rFonts w:hint="default" w:ascii="宋体" w:hAnsi="宋体" w:cs="宋体"/>
          <w:kern w:val="0"/>
          <w:sz w:val="21"/>
          <w:szCs w:val="21"/>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zMmNjZTUwOTg2NzJiNGJjZTIzZWMzYmEzMWZlMmUifQ=="/>
  </w:docVars>
  <w:rsids>
    <w:rsidRoot w:val="00000000"/>
    <w:rsid w:val="07ED1CF2"/>
    <w:rsid w:val="08D116E0"/>
    <w:rsid w:val="0ED2440E"/>
    <w:rsid w:val="0EFB3AC4"/>
    <w:rsid w:val="11456666"/>
    <w:rsid w:val="13FD3CDB"/>
    <w:rsid w:val="19891108"/>
    <w:rsid w:val="1C584C30"/>
    <w:rsid w:val="20BF2987"/>
    <w:rsid w:val="277F0D47"/>
    <w:rsid w:val="29412512"/>
    <w:rsid w:val="32D176E5"/>
    <w:rsid w:val="39DD06BC"/>
    <w:rsid w:val="3A5E1856"/>
    <w:rsid w:val="43F565F9"/>
    <w:rsid w:val="44044A72"/>
    <w:rsid w:val="489E3752"/>
    <w:rsid w:val="4B6F3434"/>
    <w:rsid w:val="505C1875"/>
    <w:rsid w:val="576158FB"/>
    <w:rsid w:val="599E06EE"/>
    <w:rsid w:val="5EEF0451"/>
    <w:rsid w:val="60A32AE1"/>
    <w:rsid w:val="64C2298E"/>
    <w:rsid w:val="670F7075"/>
    <w:rsid w:val="6B7D740B"/>
    <w:rsid w:val="6BAA4A2F"/>
    <w:rsid w:val="6C1D7BE7"/>
    <w:rsid w:val="70B57D6B"/>
    <w:rsid w:val="76395FF6"/>
    <w:rsid w:val="7D9657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4884</Words>
  <Characters>5375</Characters>
  <Lines>0</Lines>
  <Paragraphs>0</Paragraphs>
  <TotalTime>0</TotalTime>
  <ScaleCrop>false</ScaleCrop>
  <LinksUpToDate>false</LinksUpToDate>
  <CharactersWithSpaces>5510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2024-06-24T07:54:00Z</dcterms:created>
  <dc:creator>think</dc:creator>
  <cp:lastModifiedBy>轻舞飞扬</cp:lastModifiedBy>
  <dcterms:modified xsi:type="dcterms:W3CDTF">2026-07-07T07:49:18Z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ADEAAB5E087B4EC9ADF5676126C5136D_13</vt:lpwstr>
  </property>
  <property fmtid="{D5CDD505-2E9C-101B-9397-08002B2CF9AE}" pid="4" name="KSOTemplateDocerSaveRecord">
    <vt:lpwstr>eyJoZGlkIjoiODBmNTMzZjkzYzI0YjY0ZTVkNDZkMTM4NTY2ZGEwNjciLCJ1c2VySWQiOiI1OTU4NDk1MTUifQ==</vt:lpwstr>
  </property>
</Properties>
</file>